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D2DD" w14:textId="77777777" w:rsidR="004925D1" w:rsidRDefault="00000000">
      <w:pPr>
        <w:spacing w:after="80" w:line="360" w:lineRule="auto"/>
      </w:pPr>
      <w:r>
        <w:rPr>
          <w:b/>
          <w:bCs/>
          <w:sz w:val="30"/>
          <w:szCs w:val="30"/>
        </w:rPr>
        <w:t>Data Management Protocol</w:t>
      </w:r>
    </w:p>
    <w:p w14:paraId="4DDE7159" w14:textId="77777777" w:rsidR="00144123" w:rsidRDefault="00000000" w:rsidP="00144123">
      <w:pPr>
        <w:spacing w:after="240" w:line="360" w:lineRule="auto"/>
      </w:pPr>
      <w:r>
        <w:rPr>
          <w:i/>
          <w:iCs/>
        </w:rPr>
        <w:t>Cross-border network governance for sustainable training in health care</w:t>
      </w:r>
    </w:p>
    <w:p w14:paraId="7ADEF6C5" w14:textId="77777777" w:rsidR="00144123" w:rsidRDefault="00000000" w:rsidP="00144123">
      <w:pPr>
        <w:spacing w:after="240" w:line="360" w:lineRule="auto"/>
        <w:jc w:val="both"/>
      </w:pPr>
      <w:r>
        <w:t>This protocol sets out how personal and research data are collected, anonymized, stored, accessed, and ultimately retained or destroyed in this study. Because the network itself remains identifiable owing to its unique character, the central concern is to ensure that collected information cannot be traced back to individual participants. A combination of anonymization and restricted access is used to achieve this. The procedures follow the archiving and data-protection rules of the Faculty of Behavioural and Social Sciences and comply with the EU General Data Protection Regulation (GDPR).</w:t>
      </w:r>
    </w:p>
    <w:p w14:paraId="7F91BD45" w14:textId="0503B90E" w:rsidR="004925D1" w:rsidRDefault="00000000" w:rsidP="00144123">
      <w:pPr>
        <w:spacing w:after="240" w:line="360" w:lineRule="auto"/>
      </w:pPr>
      <w:r>
        <w:rPr>
          <w:b/>
          <w:bCs/>
          <w:sz w:val="26"/>
          <w:szCs w:val="26"/>
        </w:rPr>
        <w:t>1. Personal data collected</w:t>
      </w:r>
    </w:p>
    <w:p w14:paraId="15170631" w14:textId="77777777" w:rsidR="004925D1" w:rsidRDefault="00000000">
      <w:pPr>
        <w:spacing w:after="160" w:line="360" w:lineRule="auto"/>
      </w:pPr>
      <w:r>
        <w:t>Personal data are collected only from adults who perform network-related activities. No data are collected or stored about students participating in internships. For each participant, the following are kept: full name, email address, phone number (to allow follow-up contact even if the person leaves the organization), the name of the affiliated organization, and the participant’s position in that organization.</w:t>
      </w:r>
    </w:p>
    <w:p w14:paraId="2F553E86" w14:textId="77777777" w:rsidR="004925D1" w:rsidRDefault="00000000">
      <w:pPr>
        <w:spacing w:before="200" w:after="120" w:line="360" w:lineRule="auto"/>
      </w:pPr>
      <w:r>
        <w:rPr>
          <w:b/>
          <w:bCs/>
          <w:sz w:val="26"/>
          <w:szCs w:val="26"/>
        </w:rPr>
        <w:t>2. Anonymization</w:t>
      </w:r>
    </w:p>
    <w:p w14:paraId="744C6169" w14:textId="77777777" w:rsidR="004925D1" w:rsidRDefault="00000000" w:rsidP="00144123">
      <w:pPr>
        <w:spacing w:after="160" w:line="360" w:lineRule="auto"/>
        <w:jc w:val="both"/>
      </w:pPr>
      <w:r>
        <w:t>After each verbatim transcript is completed, direct and selected indirect identifiers are removed. Replacements are used rather than blacking out (e.g., a name is replaced with a descriptive label such as [the full name of the researcher], not with “XXX”). All replacements are recorded in a log of replacements, which is stored separately from the anonymized data files.</w:t>
      </w:r>
    </w:p>
    <w:p w14:paraId="3141E4F8" w14:textId="77777777" w:rsidR="004925D1" w:rsidRDefault="00000000">
      <w:pPr>
        <w:spacing w:after="80" w:line="360" w:lineRule="auto"/>
      </w:pPr>
      <w:r>
        <w:rPr>
          <w:b/>
          <w:bCs/>
        </w:rPr>
        <w:t>Direct identifiers replaced:</w:t>
      </w:r>
    </w:p>
    <w:p w14:paraId="47F9C041" w14:textId="77777777" w:rsidR="004925D1" w:rsidRDefault="00000000">
      <w:pPr>
        <w:pStyle w:val="ListParagraph"/>
        <w:numPr>
          <w:ilvl w:val="0"/>
          <w:numId w:val="2"/>
        </w:numPr>
        <w:spacing w:after="80" w:line="360" w:lineRule="auto"/>
      </w:pPr>
      <w:r>
        <w:t>First and last name of the respondent, their colleagues, or other people who could be used to identify the respondent (e.g., the director of the respondent’s institution);</w:t>
      </w:r>
    </w:p>
    <w:p w14:paraId="5351665D" w14:textId="77777777" w:rsidR="004925D1" w:rsidRDefault="00000000">
      <w:pPr>
        <w:pStyle w:val="ListParagraph"/>
        <w:numPr>
          <w:ilvl w:val="0"/>
          <w:numId w:val="2"/>
        </w:numPr>
        <w:spacing w:after="80" w:line="360" w:lineRule="auto"/>
      </w:pPr>
      <w:r>
        <w:t>Age;</w:t>
      </w:r>
    </w:p>
    <w:p w14:paraId="74D0D513" w14:textId="77777777" w:rsidR="004925D1" w:rsidRDefault="00000000">
      <w:pPr>
        <w:pStyle w:val="ListParagraph"/>
        <w:numPr>
          <w:ilvl w:val="0"/>
          <w:numId w:val="2"/>
        </w:numPr>
        <w:spacing w:after="80" w:line="360" w:lineRule="auto"/>
      </w:pPr>
      <w:r>
        <w:t>Name of the institution the respondent represents;</w:t>
      </w:r>
    </w:p>
    <w:p w14:paraId="0A8B2B33" w14:textId="77777777" w:rsidR="004925D1" w:rsidRDefault="00000000">
      <w:pPr>
        <w:pStyle w:val="ListParagraph"/>
        <w:numPr>
          <w:ilvl w:val="0"/>
          <w:numId w:val="2"/>
        </w:numPr>
        <w:spacing w:after="80" w:line="360" w:lineRule="auto"/>
      </w:pPr>
      <w:r>
        <w:t>Name of the city where the respondent or their institution is located;</w:t>
      </w:r>
    </w:p>
    <w:p w14:paraId="1804E938" w14:textId="77777777" w:rsidR="004925D1" w:rsidRDefault="00000000">
      <w:pPr>
        <w:pStyle w:val="ListParagraph"/>
        <w:numPr>
          <w:ilvl w:val="0"/>
          <w:numId w:val="2"/>
        </w:numPr>
        <w:spacing w:after="80" w:line="360" w:lineRule="auto"/>
      </w:pPr>
      <w:r>
        <w:lastRenderedPageBreak/>
        <w:t>Country, in interviews with Service Team members, where only one respondent is from a given country and selective replacement would make that person identifiable;</w:t>
      </w:r>
    </w:p>
    <w:p w14:paraId="0F73CAD6" w14:textId="77777777" w:rsidR="004925D1" w:rsidRDefault="00000000">
      <w:pPr>
        <w:pStyle w:val="ListParagraph"/>
        <w:numPr>
          <w:ilvl w:val="0"/>
          <w:numId w:val="2"/>
        </w:numPr>
        <w:spacing w:after="80" w:line="360" w:lineRule="auto"/>
      </w:pPr>
      <w:r>
        <w:t>The respondent’s position and/or duties in the network.</w:t>
      </w:r>
    </w:p>
    <w:p w14:paraId="68391DC6" w14:textId="77777777" w:rsidR="004925D1" w:rsidRDefault="00000000">
      <w:pPr>
        <w:spacing w:after="80" w:line="360" w:lineRule="auto"/>
      </w:pPr>
      <w:r>
        <w:rPr>
          <w:b/>
          <w:bCs/>
        </w:rPr>
        <w:t>Indirect identifiers replaced:</w:t>
      </w:r>
    </w:p>
    <w:p w14:paraId="7238314F" w14:textId="77777777" w:rsidR="004925D1" w:rsidRDefault="00000000">
      <w:pPr>
        <w:pStyle w:val="ListParagraph"/>
        <w:numPr>
          <w:ilvl w:val="0"/>
          <w:numId w:val="2"/>
        </w:numPr>
        <w:spacing w:after="80" w:line="360" w:lineRule="auto"/>
      </w:pPr>
      <w:r>
        <w:t>Gender (where identifiable from the transcript);</w:t>
      </w:r>
    </w:p>
    <w:p w14:paraId="70C8919E" w14:textId="77777777" w:rsidR="004925D1" w:rsidRDefault="00000000">
      <w:pPr>
        <w:pStyle w:val="ListParagraph"/>
        <w:numPr>
          <w:ilvl w:val="0"/>
          <w:numId w:val="2"/>
        </w:numPr>
        <w:spacing w:after="80" w:line="360" w:lineRule="auto"/>
      </w:pPr>
      <w:r>
        <w:t>Dates related to the individual or the organization (e.g., when they joined the network);</w:t>
      </w:r>
    </w:p>
    <w:p w14:paraId="59874638" w14:textId="77777777" w:rsidR="004925D1" w:rsidRDefault="00000000">
      <w:pPr>
        <w:pStyle w:val="ListParagraph"/>
        <w:numPr>
          <w:ilvl w:val="0"/>
          <w:numId w:val="2"/>
        </w:numPr>
        <w:spacing w:after="80" w:line="360" w:lineRule="auto"/>
      </w:pPr>
      <w:r>
        <w:t>The respondent’s position and/or duties in the organization they represent;</w:t>
      </w:r>
    </w:p>
    <w:p w14:paraId="359DBADF" w14:textId="77777777" w:rsidR="004925D1" w:rsidRDefault="00000000">
      <w:pPr>
        <w:pStyle w:val="ListParagraph"/>
        <w:numPr>
          <w:ilvl w:val="0"/>
          <w:numId w:val="2"/>
        </w:numPr>
        <w:spacing w:after="80" w:line="360" w:lineRule="auto"/>
      </w:pPr>
      <w:r>
        <w:t>The respondent’s membership in other unions, networks, and similar bodies;</w:t>
      </w:r>
    </w:p>
    <w:p w14:paraId="7F16BF65" w14:textId="77777777" w:rsidR="004925D1" w:rsidRDefault="00000000">
      <w:pPr>
        <w:pStyle w:val="ListParagraph"/>
        <w:numPr>
          <w:ilvl w:val="0"/>
          <w:numId w:val="2"/>
        </w:numPr>
        <w:spacing w:after="80" w:line="360" w:lineRule="auto"/>
      </w:pPr>
      <w:r>
        <w:t>The resources the organization contributes to the network — their name or precise quantity.</w:t>
      </w:r>
    </w:p>
    <w:p w14:paraId="26B98359" w14:textId="77777777" w:rsidR="004925D1" w:rsidRDefault="00000000">
      <w:pPr>
        <w:spacing w:after="160" w:line="360" w:lineRule="auto"/>
      </w:pPr>
      <w:r>
        <w:t>This list is not exhaustive. Any further indirect identifiers a respondent mentions (e.g., education, income, marital status, mother tongue, ethnicity, religion, or a medical identifier) are also replaced. This precaution reflects the dependencies between participants: even indirect identifiers could be used to re-identify not only the respondent but also other members of the network.</w:t>
      </w:r>
    </w:p>
    <w:p w14:paraId="35F0B856" w14:textId="77777777" w:rsidR="004925D1" w:rsidRDefault="00000000">
      <w:pPr>
        <w:spacing w:before="200" w:after="120" w:line="360" w:lineRule="auto"/>
      </w:pPr>
      <w:r>
        <w:rPr>
          <w:b/>
          <w:bCs/>
          <w:sz w:val="26"/>
          <w:szCs w:val="26"/>
        </w:rPr>
        <w:t>3. Restricting access to the data</w:t>
      </w:r>
    </w:p>
    <w:p w14:paraId="6EDC8E43" w14:textId="77777777" w:rsidR="004925D1" w:rsidRDefault="00000000">
      <w:pPr>
        <w:spacing w:after="80" w:line="360" w:lineRule="auto"/>
      </w:pPr>
      <w:r>
        <w:t>Access is restricted by passwords. The following data are accessible only to the researcher and the daily supervisor:</w:t>
      </w:r>
    </w:p>
    <w:p w14:paraId="1E4A8412" w14:textId="77777777" w:rsidR="004925D1" w:rsidRDefault="00000000">
      <w:pPr>
        <w:pStyle w:val="ListParagraph"/>
        <w:numPr>
          <w:ilvl w:val="0"/>
          <w:numId w:val="2"/>
        </w:numPr>
        <w:spacing w:after="80" w:line="360" w:lineRule="auto"/>
      </w:pPr>
      <w:r>
        <w:t>Log of replacements (direct and indirect identifiers);</w:t>
      </w:r>
    </w:p>
    <w:p w14:paraId="0525EA6F" w14:textId="77777777" w:rsidR="004925D1" w:rsidRDefault="00000000">
      <w:pPr>
        <w:pStyle w:val="ListParagraph"/>
        <w:numPr>
          <w:ilvl w:val="0"/>
          <w:numId w:val="2"/>
        </w:numPr>
        <w:spacing w:after="80" w:line="360" w:lineRule="auto"/>
      </w:pPr>
      <w:r>
        <w:t>Audio files of interviews.</w:t>
      </w:r>
    </w:p>
    <w:p w14:paraId="1A9F5328" w14:textId="77777777" w:rsidR="004925D1" w:rsidRDefault="00000000">
      <w:pPr>
        <w:spacing w:after="80" w:line="360" w:lineRule="auto"/>
      </w:pPr>
      <w:r>
        <w:t>The following data are accessible only to the researcher, the daily supervisor, and the promotor:</w:t>
      </w:r>
    </w:p>
    <w:p w14:paraId="2EA8309C" w14:textId="77777777" w:rsidR="004925D1" w:rsidRDefault="00000000">
      <w:pPr>
        <w:pStyle w:val="ListParagraph"/>
        <w:numPr>
          <w:ilvl w:val="0"/>
          <w:numId w:val="2"/>
        </w:numPr>
        <w:spacing w:after="80" w:line="360" w:lineRule="auto"/>
      </w:pPr>
      <w:r>
        <w:t>Informed-consent forms (scanned and physical copies);</w:t>
      </w:r>
    </w:p>
    <w:p w14:paraId="055DAE1D" w14:textId="77777777" w:rsidR="004925D1" w:rsidRDefault="00000000">
      <w:pPr>
        <w:pStyle w:val="ListParagraph"/>
        <w:numPr>
          <w:ilvl w:val="0"/>
          <w:numId w:val="2"/>
        </w:numPr>
        <w:spacing w:after="80" w:line="360" w:lineRule="auto"/>
      </w:pPr>
      <w:r>
        <w:t>Requests for withdrawal from the study;</w:t>
      </w:r>
    </w:p>
    <w:p w14:paraId="75ED2F0D" w14:textId="77777777" w:rsidR="004925D1" w:rsidRDefault="00000000">
      <w:pPr>
        <w:pStyle w:val="ListParagraph"/>
        <w:numPr>
          <w:ilvl w:val="0"/>
          <w:numId w:val="2"/>
        </w:numPr>
        <w:spacing w:after="80" w:line="360" w:lineRule="auto"/>
      </w:pPr>
      <w:r>
        <w:t>Documents obtained from participants (scanned copies only);</w:t>
      </w:r>
    </w:p>
    <w:p w14:paraId="2732FF7C" w14:textId="77777777" w:rsidR="004925D1" w:rsidRDefault="00000000">
      <w:pPr>
        <w:pStyle w:val="ListParagraph"/>
        <w:numPr>
          <w:ilvl w:val="0"/>
          <w:numId w:val="2"/>
        </w:numPr>
        <w:spacing w:after="80" w:line="360" w:lineRule="auto"/>
      </w:pPr>
      <w:r>
        <w:t>Contact information of participants;</w:t>
      </w:r>
    </w:p>
    <w:p w14:paraId="6A7FF1F7" w14:textId="77777777" w:rsidR="004925D1" w:rsidRDefault="00000000">
      <w:pPr>
        <w:pStyle w:val="ListParagraph"/>
        <w:numPr>
          <w:ilvl w:val="0"/>
          <w:numId w:val="2"/>
        </w:numPr>
        <w:spacing w:after="80" w:line="360" w:lineRule="auto"/>
      </w:pPr>
      <w:r>
        <w:t>Audio files of observations;</w:t>
      </w:r>
    </w:p>
    <w:p w14:paraId="49727A3B" w14:textId="77777777" w:rsidR="004925D1" w:rsidRDefault="00000000">
      <w:pPr>
        <w:pStyle w:val="ListParagraph"/>
        <w:numPr>
          <w:ilvl w:val="0"/>
          <w:numId w:val="2"/>
        </w:numPr>
        <w:spacing w:after="80" w:line="360" w:lineRule="auto"/>
      </w:pPr>
      <w:r>
        <w:t>Log of destroyed documents (reason, date, and method of destruction).</w:t>
      </w:r>
    </w:p>
    <w:p w14:paraId="47C7F9AF" w14:textId="77777777" w:rsidR="004925D1" w:rsidRDefault="00000000">
      <w:pPr>
        <w:spacing w:after="160" w:line="360" w:lineRule="auto"/>
      </w:pPr>
      <w:r>
        <w:t>The co-promotor has no access to the data listed above, owing to the dual role of co-promotor and network gatekeeper. Verbatim transcripts containing no identifiers may be shared with publishers and project partners.</w:t>
      </w:r>
    </w:p>
    <w:p w14:paraId="5DC276A7" w14:textId="77777777" w:rsidR="004925D1" w:rsidRDefault="00000000">
      <w:pPr>
        <w:spacing w:before="200" w:after="120" w:line="360" w:lineRule="auto"/>
      </w:pPr>
      <w:r>
        <w:rPr>
          <w:b/>
          <w:bCs/>
          <w:sz w:val="26"/>
          <w:szCs w:val="26"/>
        </w:rPr>
        <w:t>4. Data storage</w:t>
      </w:r>
    </w:p>
    <w:p w14:paraId="084EDAD5" w14:textId="77777777" w:rsidR="004925D1" w:rsidRDefault="00000000">
      <w:pPr>
        <w:pStyle w:val="ListParagraph"/>
        <w:numPr>
          <w:ilvl w:val="0"/>
          <w:numId w:val="2"/>
        </w:numPr>
        <w:spacing w:after="80" w:line="360" w:lineRule="auto"/>
      </w:pPr>
      <w:r>
        <w:t>Short-term storage and transmission use an encrypted USB flash drive.</w:t>
      </w:r>
    </w:p>
    <w:p w14:paraId="542DE203" w14:textId="77777777" w:rsidR="004925D1" w:rsidRDefault="00000000">
      <w:pPr>
        <w:pStyle w:val="ListParagraph"/>
        <w:numPr>
          <w:ilvl w:val="0"/>
          <w:numId w:val="2"/>
        </w:numPr>
        <w:spacing w:after="80" w:line="360" w:lineRule="auto"/>
      </w:pPr>
      <w:r>
        <w:t>If a participant wishes to check their interview transcript, the anonymized version is sent directly by email as a password-protected PDF.</w:t>
      </w:r>
    </w:p>
    <w:p w14:paraId="7F44759C" w14:textId="77777777" w:rsidR="004925D1" w:rsidRDefault="00000000">
      <w:pPr>
        <w:pStyle w:val="ListParagraph"/>
        <w:numPr>
          <w:ilvl w:val="0"/>
          <w:numId w:val="2"/>
        </w:numPr>
        <w:spacing w:after="80" w:line="360" w:lineRule="auto"/>
      </w:pPr>
      <w:r>
        <w:t>Long-term storage uses the university servers for all data except the log of replacements, the research diary, and the audio files; these three are kept separately on an encrypted USB flash drive to prevent re-identification.</w:t>
      </w:r>
    </w:p>
    <w:p w14:paraId="0060F0CA" w14:textId="77777777" w:rsidR="004925D1" w:rsidRDefault="00000000">
      <w:pPr>
        <w:pStyle w:val="ListParagraph"/>
        <w:numPr>
          <w:ilvl w:val="0"/>
          <w:numId w:val="2"/>
        </w:numPr>
        <w:spacing w:after="80" w:line="360" w:lineRule="auto"/>
      </w:pPr>
      <w:r>
        <w:t>All data are kept at the university for a maximum of ten years, in line with the university’s “Publication Packages and Research Packages” guideline. The retention period is stated in the informed-consent form. Retention serves the possibility of audits to monitor data manipulation and, being solely for research purposes, does not conflict with the GDPR.</w:t>
      </w:r>
    </w:p>
    <w:p w14:paraId="22022650" w14:textId="77777777" w:rsidR="004925D1" w:rsidRDefault="00000000">
      <w:pPr>
        <w:spacing w:before="200" w:after="120" w:line="360" w:lineRule="auto"/>
      </w:pPr>
      <w:r>
        <w:rPr>
          <w:b/>
          <w:bCs/>
          <w:sz w:val="26"/>
          <w:szCs w:val="26"/>
        </w:rPr>
        <w:t>5. Withdrawal of participants</w:t>
      </w:r>
    </w:p>
    <w:p w14:paraId="478495FE" w14:textId="77777777" w:rsidR="004925D1" w:rsidRDefault="00000000">
      <w:pPr>
        <w:spacing w:after="160" w:line="360" w:lineRule="auto"/>
      </w:pPr>
      <w:r>
        <w:t>If a participant withdraws and explicitly asks for their information to be destroyed, the following are destroyed: audio files (if any), verbatim transcripts, the interview cover sheet, information related to that participant in the log of replacements, documents obtained from the participant, and the informed-consent form. Contact information and email correspondence with the participant are destroyed regardless of the decision about the remaining data.</w:t>
      </w:r>
    </w:p>
    <w:p w14:paraId="447B0BB6" w14:textId="77777777" w:rsidR="004925D1" w:rsidRDefault="00000000">
      <w:pPr>
        <w:spacing w:before="200" w:after="120" w:line="360" w:lineRule="auto"/>
      </w:pPr>
      <w:r>
        <w:rPr>
          <w:b/>
          <w:bCs/>
          <w:sz w:val="26"/>
          <w:szCs w:val="26"/>
        </w:rPr>
        <w:t>6. GDPR compliance</w:t>
      </w:r>
    </w:p>
    <w:p w14:paraId="3F7D282C" w14:textId="77777777" w:rsidR="004925D1" w:rsidRDefault="00000000">
      <w:pPr>
        <w:spacing w:after="160" w:line="360" w:lineRule="auto"/>
      </w:pPr>
      <w:r>
        <w:t>There is a research agreement between the two data controllers — the University of Groningen and the partner organization — signed before the start of the project. Data-processor agreements, as required by the GDPR, are signed with any translator(s) and transcriber(s) before they are given access to the data. No other data processors are involved. Participant rights under the GDPR (access, rectification, erasure, restriction of processing, notification, portability, objection, and protection against solely automated decision-making) are set out in the informed-consent form.</w:t>
      </w:r>
    </w:p>
    <w:sectPr w:rsidR="004925D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11F9"/>
    <w:multiLevelType w:val="hybridMultilevel"/>
    <w:tmpl w:val="78FA7290"/>
    <w:lvl w:ilvl="0" w:tplc="A320AA78">
      <w:start w:val="1"/>
      <w:numFmt w:val="bullet"/>
      <w:lvlText w:val="●"/>
      <w:lvlJc w:val="left"/>
      <w:pPr>
        <w:ind w:left="720" w:hanging="360"/>
      </w:pPr>
    </w:lvl>
    <w:lvl w:ilvl="1" w:tplc="2B469D14">
      <w:start w:val="1"/>
      <w:numFmt w:val="bullet"/>
      <w:lvlText w:val="○"/>
      <w:lvlJc w:val="left"/>
      <w:pPr>
        <w:ind w:left="1440" w:hanging="360"/>
      </w:pPr>
    </w:lvl>
    <w:lvl w:ilvl="2" w:tplc="74765B54">
      <w:start w:val="1"/>
      <w:numFmt w:val="bullet"/>
      <w:lvlText w:val="■"/>
      <w:lvlJc w:val="left"/>
      <w:pPr>
        <w:ind w:left="2160" w:hanging="360"/>
      </w:pPr>
    </w:lvl>
    <w:lvl w:ilvl="3" w:tplc="3918CC1C">
      <w:start w:val="1"/>
      <w:numFmt w:val="bullet"/>
      <w:lvlText w:val="●"/>
      <w:lvlJc w:val="left"/>
      <w:pPr>
        <w:ind w:left="2880" w:hanging="360"/>
      </w:pPr>
    </w:lvl>
    <w:lvl w:ilvl="4" w:tplc="F3B61752">
      <w:start w:val="1"/>
      <w:numFmt w:val="bullet"/>
      <w:lvlText w:val="○"/>
      <w:lvlJc w:val="left"/>
      <w:pPr>
        <w:ind w:left="3600" w:hanging="360"/>
      </w:pPr>
    </w:lvl>
    <w:lvl w:ilvl="5" w:tplc="1DEC279A">
      <w:start w:val="1"/>
      <w:numFmt w:val="bullet"/>
      <w:lvlText w:val="■"/>
      <w:lvlJc w:val="left"/>
      <w:pPr>
        <w:ind w:left="4320" w:hanging="360"/>
      </w:pPr>
    </w:lvl>
    <w:lvl w:ilvl="6" w:tplc="B4C8D674">
      <w:start w:val="1"/>
      <w:numFmt w:val="bullet"/>
      <w:lvlText w:val="●"/>
      <w:lvlJc w:val="left"/>
      <w:pPr>
        <w:ind w:left="5040" w:hanging="360"/>
      </w:pPr>
    </w:lvl>
    <w:lvl w:ilvl="7" w:tplc="D65E4BEE">
      <w:start w:val="1"/>
      <w:numFmt w:val="bullet"/>
      <w:lvlText w:val="●"/>
      <w:lvlJc w:val="left"/>
      <w:pPr>
        <w:ind w:left="5760" w:hanging="360"/>
      </w:pPr>
    </w:lvl>
    <w:lvl w:ilvl="8" w:tplc="5DE23E84">
      <w:start w:val="1"/>
      <w:numFmt w:val="bullet"/>
      <w:lvlText w:val="●"/>
      <w:lvlJc w:val="left"/>
      <w:pPr>
        <w:ind w:left="6480" w:hanging="360"/>
      </w:pPr>
    </w:lvl>
  </w:abstractNum>
  <w:abstractNum w:abstractNumId="1" w15:restartNumberingAfterBreak="0">
    <w:nsid w:val="692742E1"/>
    <w:multiLevelType w:val="hybridMultilevel"/>
    <w:tmpl w:val="0662490C"/>
    <w:lvl w:ilvl="0" w:tplc="BF28EF00">
      <w:start w:val="1"/>
      <w:numFmt w:val="bullet"/>
      <w:lvlText w:val="•"/>
      <w:lvlJc w:val="left"/>
      <w:pPr>
        <w:ind w:left="720" w:hanging="360"/>
      </w:pPr>
    </w:lvl>
    <w:lvl w:ilvl="1" w:tplc="5EC41200">
      <w:numFmt w:val="decimal"/>
      <w:lvlText w:val=""/>
      <w:lvlJc w:val="left"/>
    </w:lvl>
    <w:lvl w:ilvl="2" w:tplc="0CBCE634">
      <w:numFmt w:val="decimal"/>
      <w:lvlText w:val=""/>
      <w:lvlJc w:val="left"/>
    </w:lvl>
    <w:lvl w:ilvl="3" w:tplc="DFDEF848">
      <w:numFmt w:val="decimal"/>
      <w:lvlText w:val=""/>
      <w:lvlJc w:val="left"/>
    </w:lvl>
    <w:lvl w:ilvl="4" w:tplc="9CD03D48">
      <w:numFmt w:val="decimal"/>
      <w:lvlText w:val=""/>
      <w:lvlJc w:val="left"/>
    </w:lvl>
    <w:lvl w:ilvl="5" w:tplc="55B46A5E">
      <w:numFmt w:val="decimal"/>
      <w:lvlText w:val=""/>
      <w:lvlJc w:val="left"/>
    </w:lvl>
    <w:lvl w:ilvl="6" w:tplc="F6CEC75A">
      <w:numFmt w:val="decimal"/>
      <w:lvlText w:val=""/>
      <w:lvlJc w:val="left"/>
    </w:lvl>
    <w:lvl w:ilvl="7" w:tplc="467680EE">
      <w:numFmt w:val="decimal"/>
      <w:lvlText w:val=""/>
      <w:lvlJc w:val="left"/>
    </w:lvl>
    <w:lvl w:ilvl="8" w:tplc="8E5249E8">
      <w:numFmt w:val="decimal"/>
      <w:lvlText w:val=""/>
      <w:lvlJc w:val="left"/>
    </w:lvl>
  </w:abstractNum>
  <w:num w:numId="1" w16cid:durableId="1403992398">
    <w:abstractNumId w:val="0"/>
    <w:lvlOverride w:ilvl="0">
      <w:startOverride w:val="1"/>
    </w:lvlOverride>
  </w:num>
  <w:num w:numId="2" w16cid:durableId="112685017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D1"/>
    <w:rsid w:val="00144123"/>
    <w:rsid w:val="004925D1"/>
    <w:rsid w:val="00ED046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D56A22E"/>
  <w15:docId w15:val="{A037310F-4727-BB49-AEC6-EC303586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Aliona Ignatieva</cp:lastModifiedBy>
  <cp:revision>2</cp:revision>
  <dcterms:created xsi:type="dcterms:W3CDTF">2026-06-14T09:27:00Z</dcterms:created>
  <dcterms:modified xsi:type="dcterms:W3CDTF">2026-06-14T09:37:00Z</dcterms:modified>
</cp:coreProperties>
</file>